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教室（教学场所）采光和照明抽检结果汇总表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县（区、市)：                                                         单位（盖章）</w:t>
      </w:r>
    </w:p>
    <w:tbl>
      <w:tblPr>
        <w:tblStyle w:val="5"/>
        <w:tblW w:w="13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54"/>
        <w:gridCol w:w="1354"/>
        <w:gridCol w:w="1354"/>
        <w:gridCol w:w="1354"/>
        <w:gridCol w:w="1354"/>
        <w:gridCol w:w="1354"/>
        <w:gridCol w:w="1354"/>
        <w:gridCol w:w="135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机构类别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辖区单位总数（个）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抽检单位数（个）</w:t>
            </w:r>
          </w:p>
        </w:tc>
        <w:tc>
          <w:tcPr>
            <w:tcW w:w="94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抽检项目符合要求单位数（个）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直接天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然采光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窗地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面积比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防眩光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措施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装设人工照明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课桌面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照度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课桌面照度均匀度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托育机构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校外培训机构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注：采光测量方法按GB/T5699执行，照明测量方法按GB/T5700执行。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填表人：                       联系电话：                            审核人：</w:t>
      </w:r>
    </w:p>
    <w:p>
      <w:pPr/>
    </w:p>
    <w:sectPr>
      <w:pgSz w:w="16838" w:h="11906" w:orient="landscape"/>
      <w:pgMar w:top="1559" w:right="2098" w:bottom="1502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68B3"/>
    <w:rsid w:val="21D3304F"/>
    <w:rsid w:val="33FF9363"/>
    <w:rsid w:val="73882AC4"/>
    <w:rsid w:val="D7FF68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194</Characters>
  <Lines>0</Lines>
  <Paragraphs>0</Paragraphs>
  <TotalTime>0</TotalTime>
  <ScaleCrop>false</ScaleCrop>
  <LinksUpToDate>false</LinksUpToDate>
  <CharactersWithSpaces>302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2025-08-07T09:44:00Z</dcterms:created>
  <dc:creator>admin</dc:creator>
  <cp:lastModifiedBy>Administrator</cp:lastModifiedBy>
  <dcterms:modified xsi:type="dcterms:W3CDTF">2025-08-19T07:23:00Z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EDADBBF84EF1C73C07059468188C451F_41</vt:lpwstr>
  </property>
  <property fmtid="{D5CDD505-2E9C-101B-9397-08002B2CF9AE}" pid="4" name="KSOTemplateDocerSaveRecord">
    <vt:lpwstr>eyJoZGlkIjoiZDI4MGUwMWYwN2NlNzJkYWZlMWYyZmFkMDZmYmYzNzMiLCJ1c2VySWQiOiIyNDMzNTI5NzIifQ==</vt:lpwstr>
  </property>
</Properties>
</file>